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4A0"/>
      </w:tblPr>
      <w:tblGrid>
        <w:gridCol w:w="568"/>
        <w:gridCol w:w="1559"/>
        <w:gridCol w:w="8080"/>
      </w:tblGrid>
      <w:tr w:rsidR="00A83674" w:rsidRPr="003B675A" w:rsidTr="003B675A">
        <w:tc>
          <w:tcPr>
            <w:tcW w:w="568" w:type="dxa"/>
            <w:vMerge w:val="restart"/>
          </w:tcPr>
          <w:p w:rsidR="00A83674" w:rsidRPr="003B675A" w:rsidRDefault="00A83674" w:rsidP="001D69AD">
            <w:pPr>
              <w:spacing w:after="0"/>
              <w:rPr>
                <w:rFonts w:ascii="Times New Roman" w:hAnsi="Times New Roman" w:cs="Times New Roman"/>
                <w:sz w:val="24"/>
                <w:szCs w:val="24"/>
              </w:rPr>
            </w:pPr>
            <w:r w:rsidRPr="003B675A">
              <w:rPr>
                <w:rFonts w:ascii="Times New Roman" w:hAnsi="Times New Roman" w:cs="Times New Roman"/>
                <w:sz w:val="24"/>
                <w:szCs w:val="24"/>
              </w:rPr>
              <w:t>19</w:t>
            </w:r>
          </w:p>
        </w:tc>
        <w:tc>
          <w:tcPr>
            <w:tcW w:w="9639" w:type="dxa"/>
            <w:gridSpan w:val="2"/>
            <w:shd w:val="clear" w:color="auto" w:fill="D9D9D9"/>
          </w:tcPr>
          <w:p w:rsidR="00A83674" w:rsidRPr="003B675A" w:rsidRDefault="00A83674" w:rsidP="001D69AD">
            <w:pPr>
              <w:spacing w:after="0"/>
              <w:jc w:val="both"/>
              <w:rPr>
                <w:rFonts w:ascii="Times New Roman" w:hAnsi="Times New Roman" w:cs="Times New Roman"/>
                <w:b/>
                <w:sz w:val="24"/>
                <w:szCs w:val="24"/>
              </w:rPr>
            </w:pPr>
            <w:r w:rsidRPr="003B675A">
              <w:rPr>
                <w:rFonts w:ascii="Times New Roman" w:hAnsi="Times New Roman" w:cs="Times New Roman"/>
                <w:b/>
                <w:sz w:val="24"/>
                <w:szCs w:val="24"/>
              </w:rPr>
              <w:t>Liberazione e Decalogo: rapporto legge – dono - libertà</w:t>
            </w:r>
          </w:p>
        </w:tc>
      </w:tr>
      <w:tr w:rsidR="00A83674" w:rsidRPr="003B675A" w:rsidTr="003B675A">
        <w:tc>
          <w:tcPr>
            <w:tcW w:w="568" w:type="dxa"/>
            <w:vMerge/>
          </w:tcPr>
          <w:p w:rsidR="00A83674" w:rsidRPr="003B675A" w:rsidRDefault="00A83674" w:rsidP="001D69AD">
            <w:pPr>
              <w:spacing w:after="0"/>
              <w:rPr>
                <w:rFonts w:ascii="Times New Roman" w:hAnsi="Times New Roman" w:cs="Times New Roman"/>
                <w:sz w:val="24"/>
                <w:szCs w:val="24"/>
              </w:rPr>
            </w:pPr>
          </w:p>
        </w:tc>
        <w:tc>
          <w:tcPr>
            <w:tcW w:w="1559" w:type="dxa"/>
          </w:tcPr>
          <w:p w:rsidR="00A83674" w:rsidRPr="003B675A" w:rsidRDefault="00A83674" w:rsidP="001D69AD">
            <w:pPr>
              <w:spacing w:after="0" w:line="240" w:lineRule="auto"/>
              <w:rPr>
                <w:rFonts w:ascii="Times New Roman" w:hAnsi="Times New Roman" w:cs="Times New Roman"/>
                <w:sz w:val="24"/>
                <w:szCs w:val="24"/>
              </w:rPr>
            </w:pPr>
          </w:p>
          <w:p w:rsidR="00A83674" w:rsidRPr="003B675A" w:rsidRDefault="00A83674" w:rsidP="001D69AD">
            <w:pPr>
              <w:spacing w:after="0" w:line="240" w:lineRule="auto"/>
              <w:rPr>
                <w:rFonts w:ascii="Times New Roman" w:hAnsi="Times New Roman" w:cs="Times New Roman"/>
                <w:sz w:val="24"/>
                <w:szCs w:val="24"/>
              </w:rPr>
            </w:pPr>
            <w:r w:rsidRPr="003B675A">
              <w:rPr>
                <w:rFonts w:ascii="Times New Roman" w:hAnsi="Times New Roman" w:cs="Times New Roman"/>
                <w:sz w:val="24"/>
                <w:szCs w:val="24"/>
              </w:rPr>
              <w:t>Comprendere la legge come possibilità offertaci per mantenere la libertà</w:t>
            </w:r>
          </w:p>
        </w:tc>
        <w:tc>
          <w:tcPr>
            <w:tcW w:w="8080" w:type="dxa"/>
          </w:tcPr>
          <w:p w:rsidR="00A83674"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Adesso che il popolo è libero, come farà a non cadere di nuovo in schiavitù? Le dieci parole sono un aiuto per vivere nella libertà. La loro trasgressione equivale al ritornare a vivere da schiavi. Si potrebbe iniziare l’incontro chiedendo ai ragazzi cosa pensano della “legge” permettendo loro di far emergere tutti i sospetti e i giudizi che nutrono nei confronti di questa.</w:t>
            </w:r>
          </w:p>
          <w:p w:rsidR="000859D0" w:rsidRPr="003B675A" w:rsidRDefault="000859D0" w:rsidP="001D69AD">
            <w:pPr>
              <w:spacing w:after="0" w:line="240" w:lineRule="auto"/>
              <w:jc w:val="both"/>
              <w:rPr>
                <w:rFonts w:ascii="Times New Roman" w:hAnsi="Times New Roman" w:cs="Times New Roman"/>
                <w:sz w:val="24"/>
                <w:szCs w:val="24"/>
              </w:rPr>
            </w:pPr>
          </w:p>
          <w:p w:rsidR="00A83674"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b/>
                <w:sz w:val="24"/>
                <w:szCs w:val="24"/>
              </w:rPr>
              <w:t xml:space="preserve">Proposta 1: </w:t>
            </w:r>
            <w:r w:rsidRPr="003B675A">
              <w:rPr>
                <w:rFonts w:ascii="Times New Roman" w:hAnsi="Times New Roman" w:cs="Times New Roman"/>
                <w:sz w:val="24"/>
                <w:szCs w:val="24"/>
              </w:rPr>
              <w:t>Episodio della manna. Gli israeliti affamati nel deserto sperimentano il bene della manna e delle quaglie. Il bene del cibo si presenta come dono che proviene da Dio (v. 15). Immediatamente dopo il dono, giunge il precetto: ‘raccoglietene ogni giorno la razione di un giorno’ (v. 4). La legge protegge il dono (giungendo dopo di esso) e diventa la prova della fede. La legge relativa alla manna comanda di mantenere la relazione di fede con Dio (raccoglierne quanto basta significa aver fiducia che Dio provvederà per il prossimo giorno).</w:t>
            </w:r>
          </w:p>
          <w:p w:rsidR="000859D0" w:rsidRPr="000859D0" w:rsidRDefault="000859D0" w:rsidP="000859D0">
            <w:pPr>
              <w:jc w:val="both"/>
              <w:rPr>
                <w:rFonts w:ascii="Times New Roman" w:hAnsi="Times New Roman"/>
              </w:rPr>
            </w:pPr>
            <w:r>
              <w:rPr>
                <w:rFonts w:ascii="Times New Roman" w:hAnsi="Times New Roman"/>
              </w:rPr>
              <w:t xml:space="preserve">Può essere utilizzato il </w:t>
            </w:r>
            <w:hyperlink r:id="rId4" w:history="1">
              <w:proofErr w:type="spellStart"/>
              <w:r w:rsidRPr="003C2297">
                <w:rPr>
                  <w:rStyle w:val="Collegamentoipertestuale"/>
                  <w:rFonts w:ascii="Times New Roman" w:hAnsi="Times New Roman"/>
                </w:rPr>
                <w:t>Ppt</w:t>
              </w:r>
              <w:proofErr w:type="spellEnd"/>
            </w:hyperlink>
            <w:r>
              <w:rPr>
                <w:rFonts w:ascii="Times New Roman" w:hAnsi="Times New Roman"/>
              </w:rPr>
              <w:t xml:space="preserve"> “Liberazione e decalogo” oppure si può far lavorare i ragazzi direttamente sul testo biblico.</w:t>
            </w:r>
          </w:p>
          <w:p w:rsidR="000859D0" w:rsidRPr="003B675A" w:rsidRDefault="000859D0" w:rsidP="001D69AD">
            <w:pPr>
              <w:spacing w:after="0" w:line="240" w:lineRule="auto"/>
              <w:jc w:val="both"/>
              <w:rPr>
                <w:rFonts w:ascii="Times New Roman" w:hAnsi="Times New Roman" w:cs="Times New Roman"/>
                <w:sz w:val="24"/>
                <w:szCs w:val="24"/>
              </w:rPr>
            </w:pPr>
          </w:p>
          <w:p w:rsidR="00A83674"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b/>
                <w:sz w:val="24"/>
                <w:szCs w:val="24"/>
              </w:rPr>
              <w:t xml:space="preserve">Proposta 2: </w:t>
            </w:r>
            <w:r w:rsidRPr="003B675A">
              <w:rPr>
                <w:rFonts w:ascii="Times New Roman" w:hAnsi="Times New Roman" w:cs="Times New Roman"/>
                <w:sz w:val="24"/>
                <w:szCs w:val="24"/>
              </w:rPr>
              <w:t xml:space="preserve">I dieci Comandamenti paragonati ad indicazioni stradali: ci permettono di proseguire il cammino verso la libertà. </w:t>
            </w:r>
          </w:p>
          <w:p w:rsidR="000859D0" w:rsidRPr="003B675A" w:rsidRDefault="000859D0" w:rsidP="001D69AD">
            <w:pPr>
              <w:spacing w:after="0" w:line="240" w:lineRule="auto"/>
              <w:jc w:val="both"/>
              <w:rPr>
                <w:rFonts w:ascii="Times New Roman" w:hAnsi="Times New Roman" w:cs="Times New Roman"/>
                <w:sz w:val="24"/>
                <w:szCs w:val="24"/>
              </w:rPr>
            </w:pP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Alcune voci in noi contraddicono i Comandamenti, ci illudono di trovare una certa felicità ma in realtà ci conducono nuovamente alla schiavitù:</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I. Cércati degli idoli (televisione, soldi, divertimento …) che prendano il posto di Dio e affida a loro la tua vita (resterai schiavo di questi falsi “padroni”).</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II. Incolpa Dio per tutto quello che ti capita, non riconoscere quello che lui ci dona ogni giorno (resterai prigioniero di un’immagine falsa Dio).</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III. Alla domenica non andare a Messa, non dedicare tempo alla preghiera, al giusto riposo e alle persone che ami (resterai schiacciato da una vita frenetica e disordinata).</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IV. Non rispettare i tuoi genitori e coloro che Dio ha posto a guida della tua vita (resterai prigioniero della tua superbia e autosufficienza).</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V. Offendi, ferisci, fai male a chi ti è vicino, rispondi al male con il male (resterai schiavo dei tuoi rancori e della tua impulsività).</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VI. Tradisci la fiducia di chi ti vuol bene, non rispettare il tuo corpo e la tua dignità, usa l’altro (resterai schiavo di passioni e istinti).</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VII. Usa la roba degli altri senza rispetto, come fosse tua (resterai prigioniero della bramosia e dell’avidità).</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VIII. Menti, raggira le persone, calunnia, usa le parole per cambiare la realtà come più ti fa comodo (resterai schiavo di una visione distorta e falsa della realtà).</w:t>
            </w:r>
          </w:p>
          <w:p w:rsidR="00A83674" w:rsidRPr="003B675A" w:rsidRDefault="00A83674" w:rsidP="001D69AD">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IX. Desidera avere l’altro tutto per te (resterai prigioniero di un’incapacità a relazionarti in modo vero e profondo, a donarti).</w:t>
            </w:r>
          </w:p>
          <w:p w:rsidR="00A83674" w:rsidRDefault="00A83674" w:rsidP="003B675A">
            <w:pPr>
              <w:spacing w:after="0" w:line="240" w:lineRule="auto"/>
              <w:jc w:val="both"/>
              <w:rPr>
                <w:rFonts w:ascii="Times New Roman" w:hAnsi="Times New Roman" w:cs="Times New Roman"/>
                <w:sz w:val="24"/>
                <w:szCs w:val="24"/>
              </w:rPr>
            </w:pPr>
            <w:r w:rsidRPr="003B675A">
              <w:rPr>
                <w:rFonts w:ascii="Times New Roman" w:hAnsi="Times New Roman" w:cs="Times New Roman"/>
                <w:sz w:val="24"/>
                <w:szCs w:val="24"/>
              </w:rPr>
              <w:t>X. Non accorgerti di quello che hai, lamentati sempre, invidia quello che hanno gli altri (resterai prigioniero dell’insoddisfazione).</w:t>
            </w:r>
          </w:p>
          <w:p w:rsidR="000859D0" w:rsidRDefault="000859D0" w:rsidP="003B675A">
            <w:pPr>
              <w:spacing w:after="0" w:line="240" w:lineRule="auto"/>
              <w:jc w:val="both"/>
              <w:rPr>
                <w:rFonts w:ascii="Times New Roman" w:hAnsi="Times New Roman" w:cs="Times New Roman"/>
                <w:sz w:val="24"/>
                <w:szCs w:val="24"/>
              </w:rPr>
            </w:pPr>
          </w:p>
          <w:p w:rsidR="000859D0" w:rsidRDefault="000859D0" w:rsidP="000859D0">
            <w:pPr>
              <w:jc w:val="both"/>
            </w:pPr>
            <w:r>
              <w:t xml:space="preserve">Oppure si può utilizzare le </w:t>
            </w:r>
            <w:hyperlink r:id="rId5" w:history="1">
              <w:r w:rsidRPr="003A3FFA">
                <w:rPr>
                  <w:rStyle w:val="Collegamentoipertestuale"/>
                </w:rPr>
                <w:t>Schede</w:t>
              </w:r>
            </w:hyperlink>
            <w:r>
              <w:t xml:space="preserve"> e il </w:t>
            </w:r>
            <w:hyperlink r:id="rId6" w:history="1">
              <w:proofErr w:type="spellStart"/>
              <w:r w:rsidRPr="003A3FFA">
                <w:rPr>
                  <w:rStyle w:val="Collegamentoipertestuale"/>
                </w:rPr>
                <w:t>p</w:t>
              </w:r>
              <w:r w:rsidRPr="003A3FFA">
                <w:rPr>
                  <w:rStyle w:val="Collegamentoipertestuale"/>
                </w:rPr>
                <w:t>p</w:t>
              </w:r>
              <w:r w:rsidRPr="003A3FFA">
                <w:rPr>
                  <w:rStyle w:val="Collegamentoipertestuale"/>
                </w:rPr>
                <w:t>t</w:t>
              </w:r>
              <w:proofErr w:type="spellEnd"/>
            </w:hyperlink>
            <w:r>
              <w:t xml:space="preserve"> sui  i dieci comandamenti, sempre utilizzando la metafora dei segnali stradali.</w:t>
            </w:r>
          </w:p>
          <w:p w:rsidR="000859D0" w:rsidRPr="003B675A" w:rsidRDefault="000859D0" w:rsidP="003B675A">
            <w:pPr>
              <w:spacing w:after="0" w:line="240" w:lineRule="auto"/>
              <w:jc w:val="both"/>
              <w:rPr>
                <w:rFonts w:ascii="Times New Roman" w:hAnsi="Times New Roman" w:cs="Times New Roman"/>
                <w:sz w:val="24"/>
                <w:szCs w:val="24"/>
              </w:rPr>
            </w:pPr>
          </w:p>
        </w:tc>
      </w:tr>
    </w:tbl>
    <w:p w:rsidR="003B675A" w:rsidRPr="003B675A" w:rsidRDefault="003B675A" w:rsidP="003B675A">
      <w:pPr>
        <w:spacing w:before="240" w:after="0" w:line="240" w:lineRule="auto"/>
        <w:jc w:val="both"/>
        <w:rPr>
          <w:rFonts w:ascii="Times New Roman" w:hAnsi="Times New Roman" w:cs="Times New Roman"/>
          <w:b/>
          <w:sz w:val="24"/>
          <w:szCs w:val="24"/>
        </w:rPr>
      </w:pPr>
      <w:r w:rsidRPr="003B675A">
        <w:rPr>
          <w:rFonts w:ascii="Times New Roman" w:hAnsi="Times New Roman" w:cs="Times New Roman"/>
          <w:b/>
          <w:sz w:val="24"/>
          <w:szCs w:val="24"/>
        </w:rPr>
        <w:t>Testi di riferimento:</w:t>
      </w:r>
    </w:p>
    <w:p w:rsidR="003B675A" w:rsidRPr="000859D0" w:rsidRDefault="003B675A" w:rsidP="003B675A">
      <w:pPr>
        <w:pStyle w:val="Sandra"/>
        <w:spacing w:before="240"/>
        <w:rPr>
          <w:szCs w:val="24"/>
        </w:rPr>
      </w:pPr>
      <w:proofErr w:type="spellStart"/>
      <w:r w:rsidRPr="000859D0">
        <w:rPr>
          <w:szCs w:val="24"/>
        </w:rPr>
        <w:t>Es</w:t>
      </w:r>
      <w:proofErr w:type="spellEnd"/>
      <w:r w:rsidRPr="000859D0">
        <w:rPr>
          <w:szCs w:val="24"/>
        </w:rPr>
        <w:t xml:space="preserve"> 19-24</w:t>
      </w:r>
    </w:p>
    <w:p w:rsidR="003B675A" w:rsidRPr="000859D0" w:rsidRDefault="003B675A" w:rsidP="003B675A">
      <w:pPr>
        <w:pStyle w:val="Sandra"/>
        <w:spacing w:before="240"/>
        <w:rPr>
          <w:szCs w:val="24"/>
        </w:rPr>
      </w:pPr>
      <w:proofErr w:type="spellStart"/>
      <w:r w:rsidRPr="000859D0">
        <w:rPr>
          <w:szCs w:val="24"/>
        </w:rPr>
        <w:t>Dt</w:t>
      </w:r>
      <w:proofErr w:type="spellEnd"/>
      <w:r w:rsidRPr="000859D0">
        <w:rPr>
          <w:szCs w:val="24"/>
        </w:rPr>
        <w:t xml:space="preserve"> 5-6         </w:t>
      </w:r>
    </w:p>
    <w:p w:rsidR="003B675A" w:rsidRPr="003B675A" w:rsidRDefault="003B675A" w:rsidP="003B675A">
      <w:pPr>
        <w:pStyle w:val="Sandra"/>
        <w:spacing w:before="240"/>
        <w:rPr>
          <w:b/>
          <w:szCs w:val="24"/>
          <w:lang w:val="en-US"/>
        </w:rPr>
      </w:pPr>
      <w:r w:rsidRPr="003B675A">
        <w:rPr>
          <w:b/>
          <w:szCs w:val="24"/>
          <w:lang w:val="en-US"/>
        </w:rPr>
        <w:t xml:space="preserve">Per </w:t>
      </w:r>
      <w:proofErr w:type="spellStart"/>
      <w:r w:rsidRPr="003B675A">
        <w:rPr>
          <w:b/>
          <w:szCs w:val="24"/>
          <w:lang w:val="en-US"/>
        </w:rPr>
        <w:t>approfondire</w:t>
      </w:r>
      <w:proofErr w:type="spellEnd"/>
      <w:r w:rsidRPr="003B675A">
        <w:rPr>
          <w:b/>
          <w:szCs w:val="24"/>
          <w:lang w:val="en-US"/>
        </w:rPr>
        <w:t xml:space="preserve">:                             </w:t>
      </w:r>
    </w:p>
    <w:p w:rsidR="003B675A" w:rsidRPr="003B675A" w:rsidRDefault="003B675A" w:rsidP="003B675A">
      <w:pPr>
        <w:pStyle w:val="Sandra"/>
        <w:tabs>
          <w:tab w:val="right" w:pos="1911"/>
        </w:tabs>
        <w:spacing w:before="240"/>
        <w:rPr>
          <w:szCs w:val="24"/>
          <w:lang w:val="en-US"/>
        </w:rPr>
      </w:pPr>
      <w:proofErr w:type="spellStart"/>
      <w:r w:rsidRPr="003B675A">
        <w:rPr>
          <w:szCs w:val="24"/>
          <w:lang w:val="en-US"/>
        </w:rPr>
        <w:t>CdF</w:t>
      </w:r>
      <w:proofErr w:type="spellEnd"/>
      <w:r w:rsidRPr="003B675A">
        <w:rPr>
          <w:szCs w:val="24"/>
          <w:lang w:val="en-US"/>
        </w:rPr>
        <w:t>/3,15</w:t>
      </w:r>
    </w:p>
    <w:p w:rsidR="00E63F97" w:rsidRPr="003B675A" w:rsidRDefault="003B675A" w:rsidP="003B675A">
      <w:pPr>
        <w:spacing w:before="240"/>
        <w:rPr>
          <w:rFonts w:ascii="Times New Roman" w:hAnsi="Times New Roman" w:cs="Times New Roman"/>
          <w:sz w:val="24"/>
          <w:szCs w:val="24"/>
        </w:rPr>
      </w:pPr>
      <w:r w:rsidRPr="003B675A">
        <w:rPr>
          <w:rFonts w:ascii="Times New Roman" w:hAnsi="Times New Roman" w:cs="Times New Roman"/>
          <w:sz w:val="24"/>
          <w:szCs w:val="24"/>
          <w:lang w:val="en-US"/>
        </w:rPr>
        <w:t>Emmaus/4, 82</w:t>
      </w:r>
      <w:bookmarkStart w:id="0" w:name="_GoBack"/>
      <w:bookmarkEnd w:id="0"/>
    </w:p>
    <w:p w:rsidR="000859D0" w:rsidRDefault="000859D0" w:rsidP="000859D0">
      <w:pPr>
        <w:pStyle w:val="Sandra"/>
        <w:rPr>
          <w:sz w:val="16"/>
          <w:szCs w:val="16"/>
        </w:rPr>
      </w:pPr>
      <w:r>
        <w:rPr>
          <w:sz w:val="16"/>
          <w:szCs w:val="16"/>
        </w:rPr>
        <w:lastRenderedPageBreak/>
        <w:t xml:space="preserve">LA via, Gerusalemme, San Paolo, </w:t>
      </w:r>
      <w:r w:rsidRPr="00246C6C">
        <w:rPr>
          <w:sz w:val="16"/>
          <w:szCs w:val="16"/>
        </w:rPr>
        <w:t xml:space="preserve">pag. 96  </w:t>
      </w:r>
    </w:p>
    <w:p w:rsidR="000859D0" w:rsidRPr="00246C6C" w:rsidRDefault="000859D0" w:rsidP="000859D0">
      <w:pPr>
        <w:pStyle w:val="Sandra"/>
        <w:rPr>
          <w:sz w:val="16"/>
          <w:szCs w:val="16"/>
        </w:rPr>
      </w:pPr>
      <w:r w:rsidRPr="00246C6C">
        <w:rPr>
          <w:sz w:val="16"/>
          <w:szCs w:val="16"/>
        </w:rPr>
        <w:t xml:space="preserve">                               </w:t>
      </w:r>
      <w:r w:rsidRPr="00246C6C">
        <w:rPr>
          <w:sz w:val="16"/>
          <w:szCs w:val="16"/>
        </w:rPr>
        <w:tab/>
      </w:r>
    </w:p>
    <w:p w:rsidR="000859D0" w:rsidRDefault="000859D0" w:rsidP="000859D0">
      <w:pPr>
        <w:pStyle w:val="Sandra"/>
        <w:rPr>
          <w:sz w:val="16"/>
          <w:szCs w:val="16"/>
        </w:rPr>
      </w:pPr>
      <w:r w:rsidRPr="00246C6C">
        <w:rPr>
          <w:sz w:val="16"/>
          <w:szCs w:val="16"/>
        </w:rPr>
        <w:t>Mattarello</w:t>
      </w:r>
      <w:r>
        <w:rPr>
          <w:sz w:val="16"/>
          <w:szCs w:val="16"/>
        </w:rPr>
        <w:t>,</w:t>
      </w:r>
      <w:r w:rsidRPr="00246C6C">
        <w:rPr>
          <w:sz w:val="16"/>
          <w:szCs w:val="16"/>
        </w:rPr>
        <w:t xml:space="preserve"> 64</w:t>
      </w:r>
    </w:p>
    <w:p w:rsidR="000859D0" w:rsidRPr="00246C6C" w:rsidRDefault="000859D0" w:rsidP="000859D0">
      <w:pPr>
        <w:pStyle w:val="Sandra"/>
        <w:rPr>
          <w:sz w:val="16"/>
          <w:szCs w:val="16"/>
        </w:rPr>
      </w:pPr>
    </w:p>
    <w:p w:rsidR="000859D0" w:rsidRPr="000859D0" w:rsidRDefault="000859D0" w:rsidP="000859D0">
      <w:hyperlink r:id="rId7" w:history="1">
        <w:proofErr w:type="spellStart"/>
        <w:r w:rsidRPr="003C2297">
          <w:rPr>
            <w:rStyle w:val="Collegamentoipertestuale"/>
            <w:rFonts w:ascii="Times New Roman" w:hAnsi="Times New Roman"/>
            <w:sz w:val="16"/>
            <w:szCs w:val="16"/>
          </w:rPr>
          <w:t>CdA</w:t>
        </w:r>
        <w:proofErr w:type="spellEnd"/>
        <w:r w:rsidRPr="003C2297">
          <w:rPr>
            <w:rStyle w:val="Collegamentoipertestuale"/>
            <w:rFonts w:ascii="Times New Roman" w:hAnsi="Times New Roman"/>
            <w:sz w:val="16"/>
            <w:szCs w:val="16"/>
          </w:rPr>
          <w:t xml:space="preserve"> capitolo 22</w:t>
        </w:r>
      </w:hyperlink>
    </w:p>
    <w:p w:rsidR="000859D0" w:rsidRDefault="000859D0" w:rsidP="000859D0">
      <w:pPr>
        <w:pStyle w:val="Sandra"/>
      </w:pPr>
      <w:hyperlink r:id="rId8" w:history="1">
        <w:r w:rsidRPr="003C2297">
          <w:rPr>
            <w:rStyle w:val="Collegamentoipertestuale"/>
            <w:sz w:val="16"/>
            <w:szCs w:val="16"/>
          </w:rPr>
          <w:t>Il decalogo</w:t>
        </w:r>
      </w:hyperlink>
    </w:p>
    <w:p w:rsidR="000859D0" w:rsidRPr="00246C6C" w:rsidRDefault="000859D0" w:rsidP="000859D0">
      <w:pPr>
        <w:pStyle w:val="Sandra"/>
        <w:rPr>
          <w:color w:val="FF0000"/>
          <w:sz w:val="16"/>
          <w:szCs w:val="16"/>
        </w:rPr>
      </w:pPr>
    </w:p>
    <w:p w:rsidR="000859D0" w:rsidRDefault="000859D0" w:rsidP="000859D0">
      <w:pPr>
        <w:pStyle w:val="Sandra"/>
        <w:rPr>
          <w:sz w:val="16"/>
          <w:szCs w:val="16"/>
        </w:rPr>
      </w:pPr>
      <w:r>
        <w:rPr>
          <w:sz w:val="16"/>
          <w:szCs w:val="16"/>
        </w:rPr>
        <w:t xml:space="preserve">CCC, </w:t>
      </w:r>
      <w:r w:rsidRPr="00246C6C">
        <w:rPr>
          <w:sz w:val="16"/>
          <w:szCs w:val="16"/>
        </w:rPr>
        <w:t>Compendio</w:t>
      </w:r>
      <w:r>
        <w:rPr>
          <w:sz w:val="16"/>
          <w:szCs w:val="16"/>
        </w:rPr>
        <w:t>,</w:t>
      </w:r>
      <w:r w:rsidRPr="00246C6C">
        <w:rPr>
          <w:sz w:val="16"/>
          <w:szCs w:val="16"/>
        </w:rPr>
        <w:t xml:space="preserve">  434-533</w:t>
      </w:r>
    </w:p>
    <w:p w:rsidR="000859D0" w:rsidRPr="00246C6C" w:rsidRDefault="000859D0" w:rsidP="000859D0">
      <w:pPr>
        <w:pStyle w:val="Sandra"/>
        <w:rPr>
          <w:sz w:val="16"/>
          <w:szCs w:val="16"/>
        </w:rPr>
      </w:pPr>
    </w:p>
    <w:p w:rsidR="000859D0" w:rsidRDefault="000859D0" w:rsidP="000859D0">
      <w:pPr>
        <w:pStyle w:val="Sandra"/>
        <w:rPr>
          <w:sz w:val="16"/>
          <w:szCs w:val="16"/>
        </w:rPr>
      </w:pPr>
      <w:r w:rsidRPr="00246C6C">
        <w:rPr>
          <w:sz w:val="16"/>
          <w:szCs w:val="16"/>
        </w:rPr>
        <w:t xml:space="preserve">Gruppo Sicomoro, </w:t>
      </w:r>
      <w:r w:rsidRPr="000607DF">
        <w:rPr>
          <w:i/>
          <w:sz w:val="16"/>
          <w:szCs w:val="16"/>
        </w:rPr>
        <w:t>10 comandamenti</w:t>
      </w:r>
      <w:r w:rsidRPr="00246C6C">
        <w:rPr>
          <w:sz w:val="16"/>
          <w:szCs w:val="16"/>
        </w:rPr>
        <w:t xml:space="preserve">, </w:t>
      </w:r>
      <w:r>
        <w:rPr>
          <w:sz w:val="16"/>
          <w:szCs w:val="16"/>
        </w:rPr>
        <w:t>San P</w:t>
      </w:r>
      <w:r w:rsidRPr="00246C6C">
        <w:rPr>
          <w:sz w:val="16"/>
          <w:szCs w:val="16"/>
        </w:rPr>
        <w:t>aolo, 2011</w:t>
      </w:r>
      <w:r>
        <w:rPr>
          <w:sz w:val="16"/>
          <w:szCs w:val="16"/>
        </w:rPr>
        <w:t>.</w:t>
      </w:r>
    </w:p>
    <w:p w:rsidR="000859D0" w:rsidRPr="00246C6C" w:rsidRDefault="000859D0" w:rsidP="000859D0">
      <w:pPr>
        <w:pStyle w:val="Sandra"/>
        <w:rPr>
          <w:sz w:val="16"/>
          <w:szCs w:val="16"/>
        </w:rPr>
      </w:pPr>
    </w:p>
    <w:p w:rsidR="000859D0" w:rsidRDefault="000859D0" w:rsidP="000859D0">
      <w:pPr>
        <w:pStyle w:val="Sandra"/>
        <w:rPr>
          <w:sz w:val="16"/>
          <w:szCs w:val="16"/>
        </w:rPr>
      </w:pPr>
      <w:r w:rsidRPr="00246C6C">
        <w:rPr>
          <w:sz w:val="16"/>
          <w:szCs w:val="16"/>
        </w:rPr>
        <w:t xml:space="preserve">Carmine De Sante, </w:t>
      </w:r>
      <w:r w:rsidRPr="000607DF">
        <w:rPr>
          <w:i/>
          <w:sz w:val="16"/>
          <w:szCs w:val="16"/>
        </w:rPr>
        <w:t>Decalogo. Le 10 parole, Comandamento e libertà.</w:t>
      </w:r>
      <w:r w:rsidRPr="00246C6C">
        <w:rPr>
          <w:sz w:val="16"/>
          <w:szCs w:val="16"/>
        </w:rPr>
        <w:t xml:space="preserve"> Cittadella Editrice</w:t>
      </w:r>
    </w:p>
    <w:p w:rsidR="000859D0" w:rsidRPr="00246C6C" w:rsidRDefault="000859D0" w:rsidP="000859D0">
      <w:pPr>
        <w:pStyle w:val="Sandra"/>
        <w:rPr>
          <w:sz w:val="16"/>
          <w:szCs w:val="16"/>
        </w:rPr>
      </w:pPr>
    </w:p>
    <w:p w:rsidR="000859D0" w:rsidRDefault="000859D0" w:rsidP="000859D0">
      <w:pPr>
        <w:pStyle w:val="Sandra"/>
        <w:rPr>
          <w:sz w:val="16"/>
          <w:szCs w:val="16"/>
        </w:rPr>
      </w:pPr>
      <w:r w:rsidRPr="00246C6C">
        <w:rPr>
          <w:sz w:val="16"/>
          <w:szCs w:val="16"/>
        </w:rPr>
        <w:t xml:space="preserve">E. J. </w:t>
      </w:r>
      <w:proofErr w:type="spellStart"/>
      <w:r w:rsidRPr="00246C6C">
        <w:rPr>
          <w:sz w:val="16"/>
          <w:szCs w:val="16"/>
        </w:rPr>
        <w:t>Hernàndez</w:t>
      </w:r>
      <w:proofErr w:type="spellEnd"/>
      <w:r w:rsidRPr="00246C6C">
        <w:rPr>
          <w:sz w:val="16"/>
          <w:szCs w:val="16"/>
        </w:rPr>
        <w:t xml:space="preserve">, </w:t>
      </w:r>
      <w:r w:rsidRPr="000607DF">
        <w:rPr>
          <w:i/>
          <w:sz w:val="16"/>
          <w:szCs w:val="16"/>
        </w:rPr>
        <w:t>Il Decalogo, Dieci Parole di Vita</w:t>
      </w:r>
      <w:r w:rsidRPr="00246C6C">
        <w:rPr>
          <w:sz w:val="16"/>
          <w:szCs w:val="16"/>
        </w:rPr>
        <w:t xml:space="preserve">, </w:t>
      </w:r>
      <w:proofErr w:type="spellStart"/>
      <w:r w:rsidRPr="00246C6C">
        <w:rPr>
          <w:sz w:val="16"/>
          <w:szCs w:val="16"/>
        </w:rPr>
        <w:t>Chrico</w:t>
      </w:r>
      <w:proofErr w:type="spellEnd"/>
      <w:r w:rsidRPr="00246C6C">
        <w:rPr>
          <w:sz w:val="16"/>
          <w:szCs w:val="16"/>
        </w:rPr>
        <w:t>.</w:t>
      </w:r>
    </w:p>
    <w:p w:rsidR="000859D0" w:rsidRPr="00246C6C" w:rsidRDefault="000859D0" w:rsidP="000859D0">
      <w:pPr>
        <w:pStyle w:val="Sandra"/>
        <w:rPr>
          <w:sz w:val="16"/>
          <w:szCs w:val="16"/>
        </w:rPr>
      </w:pPr>
    </w:p>
    <w:p w:rsidR="000859D0" w:rsidRDefault="000859D0" w:rsidP="000859D0">
      <w:pPr>
        <w:pStyle w:val="Sandra"/>
        <w:rPr>
          <w:sz w:val="16"/>
          <w:szCs w:val="16"/>
        </w:rPr>
      </w:pPr>
      <w:r>
        <w:rPr>
          <w:sz w:val="16"/>
          <w:szCs w:val="16"/>
        </w:rPr>
        <w:t xml:space="preserve">A </w:t>
      </w:r>
      <w:proofErr w:type="spellStart"/>
      <w:r>
        <w:rPr>
          <w:sz w:val="16"/>
          <w:szCs w:val="16"/>
        </w:rPr>
        <w:t>G</w:t>
      </w:r>
      <w:r w:rsidRPr="00246C6C">
        <w:rPr>
          <w:sz w:val="16"/>
          <w:szCs w:val="16"/>
        </w:rPr>
        <w:t>run</w:t>
      </w:r>
      <w:proofErr w:type="spellEnd"/>
      <w:r w:rsidRPr="00246C6C">
        <w:rPr>
          <w:sz w:val="16"/>
          <w:szCs w:val="16"/>
        </w:rPr>
        <w:t xml:space="preserve">, </w:t>
      </w:r>
      <w:r w:rsidRPr="000607DF">
        <w:rPr>
          <w:i/>
          <w:sz w:val="16"/>
          <w:szCs w:val="16"/>
        </w:rPr>
        <w:t>I dieci comandamenti,</w:t>
      </w:r>
      <w:r w:rsidRPr="00246C6C">
        <w:rPr>
          <w:sz w:val="16"/>
          <w:szCs w:val="16"/>
        </w:rPr>
        <w:t xml:space="preserve"> </w:t>
      </w:r>
      <w:r w:rsidRPr="000607DF">
        <w:rPr>
          <w:i/>
          <w:sz w:val="16"/>
          <w:szCs w:val="16"/>
        </w:rPr>
        <w:t>segnaletica verso la libertà</w:t>
      </w:r>
      <w:r w:rsidRPr="00246C6C">
        <w:rPr>
          <w:sz w:val="16"/>
          <w:szCs w:val="16"/>
        </w:rPr>
        <w:t>, Sa</w:t>
      </w:r>
      <w:r>
        <w:rPr>
          <w:sz w:val="16"/>
          <w:szCs w:val="16"/>
        </w:rPr>
        <w:t>n</w:t>
      </w:r>
      <w:r w:rsidRPr="00246C6C">
        <w:rPr>
          <w:sz w:val="16"/>
          <w:szCs w:val="16"/>
        </w:rPr>
        <w:t xml:space="preserve"> Paolo</w:t>
      </w:r>
      <w:r>
        <w:rPr>
          <w:sz w:val="16"/>
          <w:szCs w:val="16"/>
        </w:rPr>
        <w:t>.</w:t>
      </w:r>
    </w:p>
    <w:p w:rsidR="000859D0" w:rsidRDefault="000859D0" w:rsidP="000859D0">
      <w:pPr>
        <w:pStyle w:val="Sandra"/>
        <w:rPr>
          <w:sz w:val="16"/>
          <w:szCs w:val="16"/>
        </w:rPr>
      </w:pPr>
    </w:p>
    <w:p w:rsidR="000859D0" w:rsidRDefault="000859D0" w:rsidP="000859D0">
      <w:pPr>
        <w:pStyle w:val="Sandra"/>
        <w:rPr>
          <w:sz w:val="16"/>
          <w:szCs w:val="16"/>
        </w:rPr>
      </w:pPr>
      <w:hyperlink r:id="rId9" w:history="1">
        <w:r w:rsidRPr="003C2297">
          <w:rPr>
            <w:rStyle w:val="Collegamentoipertestuale"/>
            <w:sz w:val="16"/>
            <w:szCs w:val="16"/>
          </w:rPr>
          <w:t>Legge</w:t>
        </w:r>
      </w:hyperlink>
    </w:p>
    <w:p w:rsidR="000859D0" w:rsidRDefault="000859D0" w:rsidP="000859D0">
      <w:pPr>
        <w:pStyle w:val="Sandra"/>
        <w:rPr>
          <w:sz w:val="16"/>
          <w:szCs w:val="16"/>
        </w:rPr>
      </w:pPr>
    </w:p>
    <w:p w:rsidR="000859D0" w:rsidRDefault="000859D0" w:rsidP="000859D0">
      <w:pPr>
        <w:pStyle w:val="Sandra"/>
        <w:rPr>
          <w:sz w:val="16"/>
          <w:szCs w:val="16"/>
        </w:rPr>
      </w:pPr>
      <w:hyperlink r:id="rId10" w:history="1">
        <w:r w:rsidRPr="003C2297">
          <w:rPr>
            <w:rStyle w:val="Collegamentoipertestuale"/>
            <w:sz w:val="16"/>
            <w:szCs w:val="16"/>
          </w:rPr>
          <w:t>Manna</w:t>
        </w:r>
      </w:hyperlink>
    </w:p>
    <w:p w:rsidR="003B675A" w:rsidRPr="003B675A" w:rsidRDefault="003B675A">
      <w:pPr>
        <w:spacing w:before="240"/>
        <w:rPr>
          <w:rFonts w:ascii="Times New Roman" w:hAnsi="Times New Roman" w:cs="Times New Roman"/>
          <w:sz w:val="24"/>
          <w:szCs w:val="24"/>
        </w:rPr>
      </w:pPr>
    </w:p>
    <w:sectPr w:rsidR="003B675A" w:rsidRPr="003B675A" w:rsidSect="005F41E2">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3C0280"/>
    <w:rsid w:val="00032E2F"/>
    <w:rsid w:val="000607DF"/>
    <w:rsid w:val="000859D0"/>
    <w:rsid w:val="000C5AFC"/>
    <w:rsid w:val="001A74FF"/>
    <w:rsid w:val="001D5AD3"/>
    <w:rsid w:val="002009AE"/>
    <w:rsid w:val="00200C64"/>
    <w:rsid w:val="003A3FFA"/>
    <w:rsid w:val="003B675A"/>
    <w:rsid w:val="003C0280"/>
    <w:rsid w:val="003C2297"/>
    <w:rsid w:val="005423AB"/>
    <w:rsid w:val="005F41E2"/>
    <w:rsid w:val="00613D98"/>
    <w:rsid w:val="00A83674"/>
    <w:rsid w:val="00A9614B"/>
    <w:rsid w:val="00B16420"/>
    <w:rsid w:val="00E63F97"/>
    <w:rsid w:val="00EE6571"/>
    <w:rsid w:val="00F31870"/>
    <w:rsid w:val="00F33D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1E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andra">
    <w:name w:val="Sandra"/>
    <w:link w:val="SandraCarattere"/>
    <w:qFormat/>
    <w:rsid w:val="003C0280"/>
    <w:pPr>
      <w:spacing w:after="0" w:line="240" w:lineRule="auto"/>
      <w:jc w:val="both"/>
    </w:pPr>
    <w:rPr>
      <w:rFonts w:ascii="Times New Roman" w:eastAsia="Calibri" w:hAnsi="Times New Roman" w:cs="Times New Roman"/>
      <w:sz w:val="24"/>
      <w:lang w:eastAsia="en-US"/>
    </w:rPr>
  </w:style>
  <w:style w:type="character" w:customStyle="1" w:styleId="SandraCarattere">
    <w:name w:val="Sandra Carattere"/>
    <w:basedOn w:val="Carpredefinitoparagrafo"/>
    <w:link w:val="Sandra"/>
    <w:rsid w:val="003C0280"/>
    <w:rPr>
      <w:rFonts w:ascii="Times New Roman" w:eastAsia="Calibri" w:hAnsi="Times New Roman" w:cs="Times New Roman"/>
      <w:sz w:val="24"/>
      <w:lang w:eastAsia="en-US"/>
    </w:rPr>
  </w:style>
  <w:style w:type="table" w:styleId="Grigliatabella">
    <w:name w:val="Table Grid"/>
    <w:basedOn w:val="Tabellanormale"/>
    <w:uiPriority w:val="59"/>
    <w:rsid w:val="003C0280"/>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3C0280"/>
    <w:rPr>
      <w:color w:val="0000FF" w:themeColor="hyperlink"/>
      <w:u w:val="single"/>
    </w:rPr>
  </w:style>
  <w:style w:type="character" w:styleId="Collegamentovisitato">
    <w:name w:val="FollowedHyperlink"/>
    <w:basedOn w:val="Carpredefinitoparagrafo"/>
    <w:uiPriority w:val="99"/>
    <w:semiHidden/>
    <w:unhideWhenUsed/>
    <w:rsid w:val="005423A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663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9.%20Il%20decalogo.doc" TargetMode="External"/><Relationship Id="rId3" Type="http://schemas.openxmlformats.org/officeDocument/2006/relationships/webSettings" Target="webSettings.xml"/><Relationship Id="rId7" Type="http://schemas.openxmlformats.org/officeDocument/2006/relationships/hyperlink" Target="19.%20CatAdu22.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G:\Progetto%20Catechistico%20Diocesano%202014-15\Progetto%20Catechistico\Iniziazione%20cristiana%20ragazzi\La%20Parola\Incontri%20ragazzi%20Parola\19.%20COMANDAMENTI.pptx" TargetMode="External"/><Relationship Id="rId11" Type="http://schemas.openxmlformats.org/officeDocument/2006/relationships/fontTable" Target="fontTable.xml"/><Relationship Id="rId5" Type="http://schemas.openxmlformats.org/officeDocument/2006/relationships/hyperlink" Target="file:///G:\Progetto%20Catechistico%20Diocesano%202014-15\Progetto%20Catechistico\Iniziazione%20cristiana%20ragazzi\La%20Parola\Incontri%20ragazzi%20Parola\19.%20Dieci%20comandamenti%20associati%20ai%20segnali%20stradali.doc" TargetMode="External"/><Relationship Id="rId10" Type="http://schemas.openxmlformats.org/officeDocument/2006/relationships/hyperlink" Target="19.%20MANNA.doc" TargetMode="External"/><Relationship Id="rId4" Type="http://schemas.openxmlformats.org/officeDocument/2006/relationships/hyperlink" Target="19.%20Liberazione%20e%20decalogo.pptx" TargetMode="External"/><Relationship Id="rId9" Type="http://schemas.openxmlformats.org/officeDocument/2006/relationships/hyperlink" Target="19.%20LEGGE.doc"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620</Words>
  <Characters>3538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Sandra</cp:lastModifiedBy>
  <cp:revision>13</cp:revision>
  <dcterms:created xsi:type="dcterms:W3CDTF">2013-09-13T08:48:00Z</dcterms:created>
  <dcterms:modified xsi:type="dcterms:W3CDTF">2014-10-18T06:12:00Z</dcterms:modified>
</cp:coreProperties>
</file>